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B14C14" w14:textId="30EC6C75" w:rsidR="006D2FFB" w:rsidRPr="00CC3466" w:rsidRDefault="009451D9" w:rsidP="006D2FFB">
      <w:pPr>
        <w:pStyle w:val="p1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NOTTS RELCOATE LTD </w:t>
      </w:r>
      <w:r w:rsidR="006D2FFB" w:rsidRPr="00CC3466">
        <w:rPr>
          <w:rFonts w:asciiTheme="minorHAnsi" w:hAnsiTheme="minorHAnsi" w:cstheme="minorHAnsi"/>
          <w:b/>
          <w:bCs/>
          <w:sz w:val="40"/>
          <w:szCs w:val="40"/>
        </w:rPr>
        <w:t>CRITERIA</w:t>
      </w:r>
      <w:r w:rsidR="00CC3466">
        <w:rPr>
          <w:rFonts w:asciiTheme="minorHAnsi" w:hAnsiTheme="minorHAnsi" w:cstheme="minorHAnsi"/>
          <w:b/>
          <w:bCs/>
          <w:sz w:val="40"/>
          <w:szCs w:val="40"/>
        </w:rPr>
        <w:t>:</w:t>
      </w:r>
      <w:r w:rsidR="006D2FFB" w:rsidRPr="00CC3466">
        <w:rPr>
          <w:rFonts w:asciiTheme="minorHAnsi" w:hAnsiTheme="minorHAnsi" w:cstheme="minorHAnsi"/>
          <w:b/>
          <w:bCs/>
          <w:sz w:val="40"/>
          <w:szCs w:val="40"/>
        </w:rPr>
        <w:t xml:space="preserve"> MAY 2026</w:t>
      </w:r>
    </w:p>
    <w:p w14:paraId="2BB2509E" w14:textId="5B853E1C" w:rsidR="00A55318" w:rsidRPr="00D872F2" w:rsidRDefault="00A55318" w:rsidP="00A55318">
      <w:pPr>
        <w:pStyle w:val="p1"/>
        <w:rPr>
          <w:rFonts w:asciiTheme="minorHAnsi" w:hAnsiTheme="minorHAnsi" w:cstheme="minorHAnsi"/>
        </w:rPr>
      </w:pPr>
      <w:r w:rsidRPr="00D872F2">
        <w:rPr>
          <w:rFonts w:asciiTheme="minorHAnsi" w:hAnsiTheme="minorHAnsi" w:cstheme="minorHAnsi"/>
        </w:rPr>
        <w:t>Each application is assessed on its own merits and acceptance is subject to satisfactory referencing, affordability, suitability and fraud prevention checks.</w:t>
      </w:r>
      <w:r w:rsidR="006D2FFB" w:rsidRPr="00D872F2">
        <w:rPr>
          <w:rFonts w:asciiTheme="minorHAnsi" w:hAnsiTheme="minorHAnsi" w:cstheme="minorHAnsi"/>
        </w:rPr>
        <w:t xml:space="preserve"> All applicants must undergo a credit </w:t>
      </w:r>
      <w:proofErr w:type="gramStart"/>
      <w:r w:rsidR="006D2FFB" w:rsidRPr="00D872F2">
        <w:rPr>
          <w:rFonts w:asciiTheme="minorHAnsi" w:hAnsiTheme="minorHAnsi" w:cstheme="minorHAnsi"/>
        </w:rPr>
        <w:t>check,</w:t>
      </w:r>
      <w:proofErr w:type="gramEnd"/>
      <w:r w:rsidR="00E41CA3">
        <w:rPr>
          <w:rFonts w:asciiTheme="minorHAnsi" w:hAnsiTheme="minorHAnsi" w:cstheme="minorHAnsi"/>
        </w:rPr>
        <w:t xml:space="preserve"> </w:t>
      </w:r>
      <w:r w:rsidR="006D2FFB" w:rsidRPr="00D872F2">
        <w:rPr>
          <w:rFonts w:asciiTheme="minorHAnsi" w:hAnsiTheme="minorHAnsi" w:cstheme="minorHAnsi"/>
        </w:rPr>
        <w:t xml:space="preserve">adverse credit history is not accepted. </w:t>
      </w:r>
    </w:p>
    <w:p w14:paraId="24133D24" w14:textId="69709B14" w:rsidR="00353F16" w:rsidRPr="00D872F2" w:rsidRDefault="00353F16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INCOME CRITERIA</w:t>
      </w:r>
      <w:r w:rsidR="006D2FFB" w:rsidRPr="00D872F2">
        <w:rPr>
          <w:rFonts w:cstheme="minorHAnsi"/>
          <w:b/>
          <w:bCs/>
        </w:rPr>
        <w:t xml:space="preserve"> (ALL APPLICATIONS)</w:t>
      </w:r>
    </w:p>
    <w:p w14:paraId="77B57FDC" w14:textId="630AE74E" w:rsidR="00353F16" w:rsidRPr="00D872F2" w:rsidRDefault="00353F16" w:rsidP="00A55318">
      <w:pPr>
        <w:pStyle w:val="NoSpacing"/>
        <w:numPr>
          <w:ilvl w:val="0"/>
          <w:numId w:val="10"/>
        </w:numPr>
        <w:rPr>
          <w:rFonts w:cstheme="minorHAnsi"/>
        </w:rPr>
      </w:pPr>
      <w:r w:rsidRPr="00D872F2">
        <w:rPr>
          <w:rFonts w:cstheme="minorHAnsi"/>
        </w:rPr>
        <w:t>Applicants should normally demonstrate an annual income of approximately £</w:t>
      </w:r>
      <w:r w:rsidRPr="00D872F2">
        <w:rPr>
          <w:rFonts w:cstheme="minorHAnsi"/>
          <w:b/>
          <w:bCs/>
        </w:rPr>
        <w:t>14,000 to rent most rooms</w:t>
      </w:r>
      <w:r w:rsidRPr="00D872F2">
        <w:rPr>
          <w:rFonts w:cstheme="minorHAnsi"/>
        </w:rPr>
        <w:t xml:space="preserve"> at £495pcm or less.</w:t>
      </w:r>
    </w:p>
    <w:p w14:paraId="2FAC8BB6" w14:textId="57536CC2" w:rsidR="00353F16" w:rsidRPr="00D872F2" w:rsidRDefault="00353F16" w:rsidP="00A55318">
      <w:pPr>
        <w:pStyle w:val="NoSpacing"/>
        <w:numPr>
          <w:ilvl w:val="0"/>
          <w:numId w:val="10"/>
        </w:numPr>
        <w:rPr>
          <w:rFonts w:cstheme="minorHAnsi"/>
        </w:rPr>
      </w:pPr>
      <w:r w:rsidRPr="00D872F2">
        <w:rPr>
          <w:rFonts w:cstheme="minorHAnsi"/>
        </w:rPr>
        <w:t>En-suites at £550-£600 Usually require around £17,000pa income.</w:t>
      </w:r>
    </w:p>
    <w:p w14:paraId="5166F5C5" w14:textId="3182EA99" w:rsidR="00353F16" w:rsidRPr="00D872F2" w:rsidRDefault="00353F16" w:rsidP="00A55318">
      <w:pPr>
        <w:pStyle w:val="NoSpacing"/>
        <w:numPr>
          <w:ilvl w:val="0"/>
          <w:numId w:val="10"/>
        </w:numPr>
        <w:rPr>
          <w:rFonts w:cstheme="minorHAnsi"/>
        </w:rPr>
      </w:pPr>
      <w:r w:rsidRPr="00D872F2">
        <w:rPr>
          <w:rFonts w:cstheme="minorHAnsi"/>
          <w:b/>
          <w:bCs/>
        </w:rPr>
        <w:t xml:space="preserve">Applicants should normally demonstrate </w:t>
      </w:r>
      <w:proofErr w:type="gramStart"/>
      <w:r w:rsidRPr="00D872F2">
        <w:rPr>
          <w:rFonts w:cstheme="minorHAnsi"/>
          <w:b/>
          <w:bCs/>
        </w:rPr>
        <w:t>an</w:t>
      </w:r>
      <w:proofErr w:type="gramEnd"/>
      <w:r w:rsidR="006D2FFB" w:rsidRPr="00D872F2">
        <w:rPr>
          <w:rFonts w:cstheme="minorHAnsi"/>
          <w:b/>
          <w:bCs/>
        </w:rPr>
        <w:t xml:space="preserve"> joint</w:t>
      </w:r>
      <w:r w:rsidRPr="00D872F2">
        <w:rPr>
          <w:rFonts w:cstheme="minorHAnsi"/>
          <w:b/>
          <w:bCs/>
        </w:rPr>
        <w:t xml:space="preserve"> annual income of approximately £27,000-28,000 to rent most flats</w:t>
      </w:r>
      <w:r w:rsidRPr="00D872F2">
        <w:rPr>
          <w:rFonts w:cstheme="minorHAnsi"/>
        </w:rPr>
        <w:t xml:space="preserve"> at £750-900pcm this can vary per flat.</w:t>
      </w:r>
    </w:p>
    <w:p w14:paraId="15CD3635" w14:textId="47DF0245" w:rsidR="00353F16" w:rsidRPr="00D872F2" w:rsidRDefault="00353F16" w:rsidP="00A55318">
      <w:pPr>
        <w:pStyle w:val="NoSpacing"/>
        <w:numPr>
          <w:ilvl w:val="0"/>
          <w:numId w:val="10"/>
        </w:numPr>
        <w:rPr>
          <w:rFonts w:cstheme="minorHAnsi"/>
        </w:rPr>
      </w:pPr>
      <w:r w:rsidRPr="00D872F2">
        <w:rPr>
          <w:rFonts w:cstheme="minorHAnsi"/>
        </w:rPr>
        <w:t xml:space="preserve">Joint income is accepted. </w:t>
      </w:r>
    </w:p>
    <w:p w14:paraId="25C1EDF3" w14:textId="735B6F64" w:rsidR="00353F16" w:rsidRPr="00D872F2" w:rsidRDefault="00353F16" w:rsidP="00A55318">
      <w:pPr>
        <w:pStyle w:val="NoSpacing"/>
        <w:numPr>
          <w:ilvl w:val="0"/>
          <w:numId w:val="10"/>
        </w:numPr>
        <w:rPr>
          <w:rFonts w:cstheme="minorHAnsi"/>
        </w:rPr>
      </w:pPr>
      <w:r w:rsidRPr="00D872F2">
        <w:rPr>
          <w:rFonts w:cstheme="minorHAnsi"/>
        </w:rPr>
        <w:t xml:space="preserve">Alternative sources of income, savings, benefits, student finance or financial support may also be considered but must be fully verified and be commercially reasonable to accept. </w:t>
      </w:r>
    </w:p>
    <w:p w14:paraId="6E11F32D" w14:textId="58F4EAAB" w:rsidR="00353F16" w:rsidRPr="00D872F2" w:rsidRDefault="00353F16" w:rsidP="00A55318">
      <w:pPr>
        <w:pStyle w:val="NoSpacing"/>
        <w:numPr>
          <w:ilvl w:val="0"/>
          <w:numId w:val="10"/>
        </w:numPr>
        <w:rPr>
          <w:rFonts w:cstheme="minorHAnsi"/>
        </w:rPr>
      </w:pPr>
      <w:r w:rsidRPr="00D872F2">
        <w:rPr>
          <w:rFonts w:cstheme="minorHAnsi"/>
        </w:rPr>
        <w:t xml:space="preserve">Where affordability is marginal or cannot be fully verified, </w:t>
      </w:r>
      <w:r w:rsidRPr="00D872F2">
        <w:rPr>
          <w:rFonts w:cstheme="minorHAnsi"/>
          <w:b/>
          <w:bCs/>
        </w:rPr>
        <w:t>we may require a suitable homeowner guarantor</w:t>
      </w:r>
      <w:r w:rsidRPr="00D872F2">
        <w:rPr>
          <w:rFonts w:cstheme="minorHAnsi"/>
        </w:rPr>
        <w:t xml:space="preserve"> or other acceptable security.</w:t>
      </w:r>
    </w:p>
    <w:p w14:paraId="120340F2" w14:textId="2E5D0A4A" w:rsidR="00A55318" w:rsidRPr="00D872F2" w:rsidRDefault="00353F16" w:rsidP="00A55318">
      <w:pPr>
        <w:pStyle w:val="NoSpacing"/>
        <w:numPr>
          <w:ilvl w:val="0"/>
          <w:numId w:val="10"/>
        </w:numPr>
        <w:rPr>
          <w:rFonts w:cstheme="minorHAnsi"/>
        </w:rPr>
      </w:pPr>
      <w:r w:rsidRPr="00D872F2">
        <w:rPr>
          <w:rFonts w:cstheme="minorHAnsi"/>
        </w:rPr>
        <w:t xml:space="preserve">Where income is significantly below our affordability </w:t>
      </w:r>
      <w:proofErr w:type="gramStart"/>
      <w:r w:rsidRPr="00D872F2">
        <w:rPr>
          <w:rFonts w:cstheme="minorHAnsi"/>
        </w:rPr>
        <w:t>criteria</w:t>
      </w:r>
      <w:proofErr w:type="gramEnd"/>
      <w:r w:rsidRPr="00D872F2">
        <w:rPr>
          <w:rFonts w:cstheme="minorHAnsi"/>
        </w:rPr>
        <w:t xml:space="preserve"> we are unable to proceed with the application.</w:t>
      </w:r>
    </w:p>
    <w:p w14:paraId="779EDE1D" w14:textId="77777777" w:rsidR="006D2FFB" w:rsidRPr="00D872F2" w:rsidRDefault="006D2FFB" w:rsidP="006D2FFB">
      <w:pPr>
        <w:pStyle w:val="NoSpacing"/>
        <w:rPr>
          <w:rFonts w:cstheme="minorHAnsi"/>
        </w:rPr>
      </w:pPr>
    </w:p>
    <w:p w14:paraId="3A16A537" w14:textId="1A505B7C" w:rsidR="006D2FFB" w:rsidRPr="00D872F2" w:rsidRDefault="006D2FFB" w:rsidP="006D2FFB">
      <w:pPr>
        <w:pStyle w:val="NoSpacing"/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CREDIT CHECK (ALL APPLICATONS)</w:t>
      </w:r>
    </w:p>
    <w:p w14:paraId="38A27C64" w14:textId="2A7C4415" w:rsidR="006D2FFB" w:rsidRPr="00D872F2" w:rsidRDefault="006D2FFB" w:rsidP="006D2FFB">
      <w:pPr>
        <w:pStyle w:val="NoSpacing"/>
        <w:numPr>
          <w:ilvl w:val="0"/>
          <w:numId w:val="18"/>
        </w:numPr>
        <w:rPr>
          <w:rFonts w:cstheme="minorHAnsi"/>
        </w:rPr>
      </w:pPr>
      <w:r w:rsidRPr="00D872F2">
        <w:rPr>
          <w:rFonts w:cstheme="minorHAnsi"/>
        </w:rPr>
        <w:t xml:space="preserve">All applicants will going </w:t>
      </w:r>
      <w:proofErr w:type="spellStart"/>
      <w:r w:rsidRPr="00D872F2">
        <w:rPr>
          <w:rFonts w:cstheme="minorHAnsi"/>
        </w:rPr>
        <w:t>though</w:t>
      </w:r>
      <w:proofErr w:type="spellEnd"/>
      <w:r w:rsidRPr="00D872F2">
        <w:rPr>
          <w:rFonts w:cstheme="minorHAnsi"/>
        </w:rPr>
        <w:t xml:space="preserve"> a formal credit check online</w:t>
      </w:r>
      <w:r w:rsidR="00BC2EB6">
        <w:rPr>
          <w:rFonts w:cstheme="minorHAnsi"/>
        </w:rPr>
        <w:t xml:space="preserve"> using </w:t>
      </w:r>
      <w:hyperlink r:id="rId5" w:history="1">
        <w:r w:rsidR="00BC2EB6" w:rsidRPr="002F390F">
          <w:rPr>
            <w:rStyle w:val="Hyperlink"/>
            <w:rFonts w:cstheme="minorHAnsi"/>
          </w:rPr>
          <w:t>www.mudhut.co.uk</w:t>
        </w:r>
      </w:hyperlink>
      <w:r w:rsidR="00BC2EB6">
        <w:rPr>
          <w:rFonts w:cstheme="minorHAnsi"/>
        </w:rPr>
        <w:t xml:space="preserve"> who provide an Equifax credit </w:t>
      </w:r>
      <w:proofErr w:type="spellStart"/>
      <w:r w:rsidR="00BC2EB6">
        <w:rPr>
          <w:rFonts w:cstheme="minorHAnsi"/>
        </w:rPr>
        <w:t>credit</w:t>
      </w:r>
      <w:proofErr w:type="spellEnd"/>
      <w:r w:rsidR="00BC2EB6">
        <w:rPr>
          <w:rFonts w:cstheme="minorHAnsi"/>
        </w:rPr>
        <w:t xml:space="preserve"> check.</w:t>
      </w:r>
    </w:p>
    <w:p w14:paraId="255456DB" w14:textId="3AEF63E6" w:rsidR="00BC2EB6" w:rsidRPr="00BC2EB6" w:rsidRDefault="00D872F2" w:rsidP="00BC2EB6">
      <w:pPr>
        <w:pStyle w:val="NoSpacing"/>
        <w:numPr>
          <w:ilvl w:val="0"/>
          <w:numId w:val="18"/>
        </w:numPr>
        <w:rPr>
          <w:rFonts w:cstheme="minorHAnsi"/>
        </w:rPr>
      </w:pPr>
      <w:r w:rsidRPr="00D872F2">
        <w:rPr>
          <w:rFonts w:cstheme="minorHAnsi"/>
          <w:color w:val="000000"/>
        </w:rPr>
        <w:t>Applicants with a history of CCJs or adverse credit are generally not accepted. However, we may consider individual circumstances at our discretion.</w:t>
      </w:r>
    </w:p>
    <w:p w14:paraId="0DE994E2" w14:textId="77777777" w:rsidR="00A55318" w:rsidRPr="00D872F2" w:rsidRDefault="00A55318" w:rsidP="00A55318">
      <w:pPr>
        <w:pStyle w:val="NoSpacing"/>
        <w:rPr>
          <w:rFonts w:cstheme="minorHAnsi"/>
        </w:rPr>
      </w:pPr>
    </w:p>
    <w:p w14:paraId="7310DC31" w14:textId="43D39BF6" w:rsidR="00353F16" w:rsidRPr="00D872F2" w:rsidRDefault="00353F16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EMPLOYED APPLICANTS</w:t>
      </w:r>
    </w:p>
    <w:p w14:paraId="2C95C890" w14:textId="6D01601B" w:rsidR="00353F16" w:rsidRPr="00D872F2" w:rsidRDefault="00353F16" w:rsidP="00A55318">
      <w:pPr>
        <w:pStyle w:val="ListParagraph"/>
        <w:numPr>
          <w:ilvl w:val="0"/>
          <w:numId w:val="11"/>
        </w:numPr>
        <w:rPr>
          <w:rFonts w:cstheme="minorHAnsi"/>
        </w:rPr>
      </w:pPr>
      <w:r w:rsidRPr="00D872F2">
        <w:rPr>
          <w:rFonts w:cstheme="minorHAnsi"/>
        </w:rPr>
        <w:t xml:space="preserve">Employment must be verified through an employer email reference primarily. </w:t>
      </w:r>
      <w:r w:rsidR="00A55318" w:rsidRPr="00D872F2">
        <w:rPr>
          <w:rFonts w:cstheme="minorHAnsi"/>
        </w:rPr>
        <w:t xml:space="preserve">It is essential it is a work email for verification purposes. </w:t>
      </w:r>
    </w:p>
    <w:p w14:paraId="1F3EC232" w14:textId="4A273EA4" w:rsidR="00353F16" w:rsidRPr="00D872F2" w:rsidRDefault="00353F16" w:rsidP="00A55318">
      <w:pPr>
        <w:pStyle w:val="ListParagraph"/>
        <w:numPr>
          <w:ilvl w:val="0"/>
          <w:numId w:val="11"/>
        </w:numPr>
        <w:rPr>
          <w:rFonts w:cstheme="minorHAnsi"/>
        </w:rPr>
      </w:pPr>
      <w:r w:rsidRPr="00D872F2">
        <w:rPr>
          <w:rFonts w:cstheme="minorHAnsi"/>
        </w:rPr>
        <w:t>Applicants on temporary, probationary, agency or zero-hours contracts may be required to provide additional evidence of affordability like bank statements and proof of hours work or</w:t>
      </w:r>
      <w:r w:rsidR="00A55318" w:rsidRPr="00D872F2">
        <w:rPr>
          <w:rFonts w:cstheme="minorHAnsi"/>
        </w:rPr>
        <w:t xml:space="preserve"> </w:t>
      </w:r>
      <w:r w:rsidRPr="00D872F2">
        <w:rPr>
          <w:rFonts w:cstheme="minorHAnsi"/>
        </w:rPr>
        <w:t>a guarantor</w:t>
      </w:r>
      <w:r w:rsidR="00A55318" w:rsidRPr="00D872F2">
        <w:rPr>
          <w:rFonts w:cstheme="minorHAnsi"/>
        </w:rPr>
        <w:t xml:space="preserve"> at our </w:t>
      </w:r>
      <w:proofErr w:type="spellStart"/>
      <w:r w:rsidR="00A55318" w:rsidRPr="00D872F2">
        <w:rPr>
          <w:rFonts w:cstheme="minorHAnsi"/>
        </w:rPr>
        <w:t>disgression</w:t>
      </w:r>
      <w:proofErr w:type="spellEnd"/>
      <w:r w:rsidR="00A55318" w:rsidRPr="00D872F2">
        <w:rPr>
          <w:rFonts w:cstheme="minorHAnsi"/>
        </w:rPr>
        <w:t xml:space="preserve">. </w:t>
      </w:r>
    </w:p>
    <w:p w14:paraId="73D423AA" w14:textId="03C6F27E" w:rsidR="00353F16" w:rsidRPr="00D872F2" w:rsidRDefault="00353F16" w:rsidP="00A55318">
      <w:pPr>
        <w:pStyle w:val="ListParagraph"/>
        <w:numPr>
          <w:ilvl w:val="0"/>
          <w:numId w:val="11"/>
        </w:numPr>
        <w:rPr>
          <w:rFonts w:cstheme="minorHAnsi"/>
        </w:rPr>
      </w:pPr>
      <w:r w:rsidRPr="00D872F2">
        <w:rPr>
          <w:rFonts w:cstheme="minorHAnsi"/>
        </w:rPr>
        <w:t xml:space="preserve">The </w:t>
      </w:r>
      <w:proofErr w:type="spellStart"/>
      <w:r w:rsidRPr="00D872F2">
        <w:rPr>
          <w:rFonts w:cstheme="minorHAnsi"/>
        </w:rPr>
        <w:t>gurantoor</w:t>
      </w:r>
      <w:proofErr w:type="spellEnd"/>
      <w:r w:rsidRPr="00D872F2">
        <w:rPr>
          <w:rFonts w:cstheme="minorHAnsi"/>
        </w:rPr>
        <w:t xml:space="preserve"> requirement will be especially </w:t>
      </w:r>
      <w:proofErr w:type="spellStart"/>
      <w:r w:rsidRPr="00D872F2">
        <w:rPr>
          <w:rFonts w:cstheme="minorHAnsi"/>
        </w:rPr>
        <w:t>rigiously</w:t>
      </w:r>
      <w:proofErr w:type="spellEnd"/>
      <w:r w:rsidRPr="00D872F2">
        <w:rPr>
          <w:rFonts w:cstheme="minorHAnsi"/>
        </w:rPr>
        <w:t xml:space="preserve"> applied to flat applications. </w:t>
      </w:r>
    </w:p>
    <w:p w14:paraId="5AD792A0" w14:textId="0974CE1D" w:rsidR="00DD3E7A" w:rsidRPr="00D872F2" w:rsidRDefault="00353F16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BENEFITS APPLICANTS</w:t>
      </w:r>
    </w:p>
    <w:p w14:paraId="0CED1C05" w14:textId="2C2C78E7" w:rsidR="006D2FFB" w:rsidRPr="00D872F2" w:rsidRDefault="006D2FFB" w:rsidP="00A55318">
      <w:pPr>
        <w:pStyle w:val="ListParagraph"/>
        <w:numPr>
          <w:ilvl w:val="0"/>
          <w:numId w:val="12"/>
        </w:numPr>
        <w:rPr>
          <w:rFonts w:cstheme="minorHAnsi"/>
        </w:rPr>
      </w:pPr>
      <w:r w:rsidRPr="00D872F2">
        <w:rPr>
          <w:rFonts w:cstheme="minorHAnsi"/>
        </w:rPr>
        <w:t>We accept benefits but like other applicants you must meet the income criteria.</w:t>
      </w:r>
    </w:p>
    <w:p w14:paraId="5D1D402E" w14:textId="02518878" w:rsidR="00353F16" w:rsidRPr="00D872F2" w:rsidRDefault="00353F16" w:rsidP="00A55318">
      <w:pPr>
        <w:pStyle w:val="ListParagraph"/>
        <w:numPr>
          <w:ilvl w:val="0"/>
          <w:numId w:val="12"/>
        </w:numPr>
        <w:rPr>
          <w:rFonts w:cstheme="minorHAnsi"/>
        </w:rPr>
      </w:pPr>
      <w:r w:rsidRPr="00D872F2">
        <w:rPr>
          <w:rFonts w:cstheme="minorHAnsi"/>
        </w:rPr>
        <w:t xml:space="preserve">Applicants relying wholly or partly on benefits will normally be required to provide the last three months’ bank statements </w:t>
      </w:r>
      <w:r w:rsidR="00DD3E7A" w:rsidRPr="00D872F2">
        <w:rPr>
          <w:rFonts w:cstheme="minorHAnsi"/>
        </w:rPr>
        <w:t xml:space="preserve">AND </w:t>
      </w:r>
      <w:r w:rsidRPr="00D872F2">
        <w:rPr>
          <w:rFonts w:cstheme="minorHAnsi"/>
        </w:rPr>
        <w:t xml:space="preserve">evidence of the last benefits claim letter or </w:t>
      </w:r>
      <w:r w:rsidR="00DD3E7A" w:rsidRPr="00D872F2">
        <w:rPr>
          <w:rFonts w:cstheme="minorHAnsi"/>
        </w:rPr>
        <w:t>statement downloaded.</w:t>
      </w:r>
    </w:p>
    <w:p w14:paraId="014E5D6D" w14:textId="0DC83151" w:rsidR="00353F16" w:rsidRPr="00D872F2" w:rsidRDefault="00353F16" w:rsidP="00A55318">
      <w:pPr>
        <w:pStyle w:val="ListParagraph"/>
        <w:numPr>
          <w:ilvl w:val="0"/>
          <w:numId w:val="12"/>
        </w:numPr>
        <w:rPr>
          <w:rFonts w:cstheme="minorHAnsi"/>
        </w:rPr>
      </w:pPr>
      <w:r w:rsidRPr="00D872F2">
        <w:rPr>
          <w:rFonts w:cstheme="minorHAnsi"/>
        </w:rPr>
        <w:t xml:space="preserve">Where affordability cannot be fully </w:t>
      </w:r>
      <w:proofErr w:type="gramStart"/>
      <w:r w:rsidRPr="00D872F2">
        <w:rPr>
          <w:rFonts w:cstheme="minorHAnsi"/>
        </w:rPr>
        <w:t>verified</w:t>
      </w:r>
      <w:proofErr w:type="gramEnd"/>
      <w:r w:rsidRPr="00D872F2">
        <w:rPr>
          <w:rFonts w:cstheme="minorHAnsi"/>
        </w:rPr>
        <w:t xml:space="preserve"> we may require a guarantor </w:t>
      </w:r>
      <w:r w:rsidR="00DD3E7A" w:rsidRPr="00D872F2">
        <w:rPr>
          <w:rFonts w:cstheme="minorHAnsi"/>
        </w:rPr>
        <w:t>who owns a home the same as employed applicants.</w:t>
      </w:r>
    </w:p>
    <w:p w14:paraId="0D9530B4" w14:textId="77777777" w:rsidR="006D2FFB" w:rsidRPr="00D872F2" w:rsidRDefault="006D2FFB" w:rsidP="006D2FFB">
      <w:pPr>
        <w:rPr>
          <w:rFonts w:cstheme="minorHAnsi"/>
        </w:rPr>
      </w:pPr>
    </w:p>
    <w:p w14:paraId="3662D7B2" w14:textId="77777777" w:rsidR="00353F16" w:rsidRPr="00D872F2" w:rsidRDefault="00353F16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SELF-EMPLOYED APPLICANTS</w:t>
      </w:r>
    </w:p>
    <w:p w14:paraId="6851960E" w14:textId="44AC9B22" w:rsidR="00353F16" w:rsidRPr="00D872F2" w:rsidRDefault="00353F16" w:rsidP="00A55318">
      <w:pPr>
        <w:pStyle w:val="ListParagraph"/>
        <w:numPr>
          <w:ilvl w:val="0"/>
          <w:numId w:val="13"/>
        </w:numPr>
        <w:rPr>
          <w:rFonts w:cstheme="minorHAnsi"/>
        </w:rPr>
      </w:pPr>
      <w:r w:rsidRPr="00D872F2">
        <w:rPr>
          <w:rFonts w:cstheme="minorHAnsi"/>
        </w:rPr>
        <w:t>Self-employed applicants will normally be required to provide the last three months’ bank statements.</w:t>
      </w:r>
    </w:p>
    <w:p w14:paraId="1399ED9B" w14:textId="2CC85100" w:rsidR="00353F16" w:rsidRPr="00D872F2" w:rsidRDefault="00353F16" w:rsidP="00A55318">
      <w:pPr>
        <w:pStyle w:val="ListParagraph"/>
        <w:numPr>
          <w:ilvl w:val="0"/>
          <w:numId w:val="13"/>
        </w:numPr>
        <w:rPr>
          <w:rFonts w:cstheme="minorHAnsi"/>
        </w:rPr>
      </w:pPr>
      <w:r w:rsidRPr="00D872F2">
        <w:rPr>
          <w:rFonts w:cstheme="minorHAnsi"/>
        </w:rPr>
        <w:t>We may also request tax returns, SA302s,</w:t>
      </w:r>
      <w:r w:rsidR="00DD3E7A" w:rsidRPr="00D872F2">
        <w:rPr>
          <w:rFonts w:cstheme="minorHAnsi"/>
        </w:rPr>
        <w:t xml:space="preserve"> Ltd Company Data,</w:t>
      </w:r>
      <w:r w:rsidRPr="00D872F2">
        <w:rPr>
          <w:rFonts w:cstheme="minorHAnsi"/>
        </w:rPr>
        <w:t xml:space="preserve"> accountant references or other evidence of income.</w:t>
      </w:r>
    </w:p>
    <w:p w14:paraId="2614EBE2" w14:textId="2298F05D" w:rsidR="00353F16" w:rsidRPr="00D872F2" w:rsidRDefault="00353F16" w:rsidP="00A55318">
      <w:pPr>
        <w:pStyle w:val="ListParagraph"/>
        <w:numPr>
          <w:ilvl w:val="0"/>
          <w:numId w:val="13"/>
        </w:numPr>
        <w:rPr>
          <w:rFonts w:cstheme="minorHAnsi"/>
        </w:rPr>
      </w:pPr>
      <w:r w:rsidRPr="00D872F2">
        <w:rPr>
          <w:rFonts w:cstheme="minorHAnsi"/>
        </w:rPr>
        <w:t xml:space="preserve">Where affordability cannot be fully verified, we may require a guarantor </w:t>
      </w:r>
      <w:r w:rsidR="00DD3E7A" w:rsidRPr="00D872F2">
        <w:rPr>
          <w:rFonts w:cstheme="minorHAnsi"/>
        </w:rPr>
        <w:t>who owns a home.</w:t>
      </w:r>
      <w:r w:rsidR="00A55318" w:rsidRPr="00D872F2">
        <w:rPr>
          <w:rFonts w:cstheme="minorHAnsi"/>
        </w:rPr>
        <w:t xml:space="preserve"> If affordability is significantly lower than required we will decline like other applicants.</w:t>
      </w:r>
    </w:p>
    <w:p w14:paraId="0BAA14D9" w14:textId="77777777" w:rsidR="00353F16" w:rsidRPr="00D872F2" w:rsidRDefault="00353F16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STUDENT APPLICANTS</w:t>
      </w:r>
    </w:p>
    <w:p w14:paraId="4AB630A1" w14:textId="53C93047" w:rsidR="00353F16" w:rsidRPr="00D872F2" w:rsidRDefault="00353F16" w:rsidP="00A55318">
      <w:pPr>
        <w:pStyle w:val="ListParagraph"/>
        <w:numPr>
          <w:ilvl w:val="0"/>
          <w:numId w:val="14"/>
        </w:numPr>
        <w:rPr>
          <w:rFonts w:cstheme="minorHAnsi"/>
        </w:rPr>
      </w:pPr>
      <w:r w:rsidRPr="00D872F2">
        <w:rPr>
          <w:rFonts w:cstheme="minorHAnsi"/>
        </w:rPr>
        <w:t>Students must demonstrate how rent will be funded throughout the tenancy.</w:t>
      </w:r>
    </w:p>
    <w:p w14:paraId="4A74721F" w14:textId="684DE457" w:rsidR="00353F16" w:rsidRPr="00D872F2" w:rsidRDefault="00353F16" w:rsidP="00A55318">
      <w:pPr>
        <w:pStyle w:val="ListParagraph"/>
        <w:numPr>
          <w:ilvl w:val="0"/>
          <w:numId w:val="14"/>
        </w:numPr>
        <w:rPr>
          <w:rFonts w:cstheme="minorHAnsi"/>
        </w:rPr>
      </w:pPr>
      <w:r w:rsidRPr="00D872F2">
        <w:rPr>
          <w:rFonts w:cstheme="minorHAnsi"/>
        </w:rPr>
        <w:t xml:space="preserve">Acceptable evidence may include employment income, student finance, savings, grants, scholarships or </w:t>
      </w:r>
      <w:r w:rsidR="00DD3E7A" w:rsidRPr="00D872F2">
        <w:rPr>
          <w:rFonts w:cstheme="minorHAnsi"/>
        </w:rPr>
        <w:t xml:space="preserve">agreed </w:t>
      </w:r>
      <w:r w:rsidRPr="00D872F2">
        <w:rPr>
          <w:rFonts w:cstheme="minorHAnsi"/>
        </w:rPr>
        <w:t>financial support from family members</w:t>
      </w:r>
      <w:r w:rsidR="00DD3E7A" w:rsidRPr="00D872F2">
        <w:rPr>
          <w:rFonts w:cstheme="minorHAnsi"/>
        </w:rPr>
        <w:t xml:space="preserve"> who are guaranteeing it.</w:t>
      </w:r>
    </w:p>
    <w:p w14:paraId="27C18468" w14:textId="6CDFAE71" w:rsidR="00353F16" w:rsidRPr="00D872F2" w:rsidRDefault="00353F16" w:rsidP="00A55318">
      <w:pPr>
        <w:pStyle w:val="ListParagraph"/>
        <w:numPr>
          <w:ilvl w:val="0"/>
          <w:numId w:val="14"/>
        </w:numPr>
        <w:rPr>
          <w:rFonts w:cstheme="minorHAnsi"/>
        </w:rPr>
      </w:pPr>
      <w:r w:rsidRPr="00D872F2">
        <w:rPr>
          <w:rFonts w:cstheme="minorHAnsi"/>
        </w:rPr>
        <w:t xml:space="preserve">Where affordability cannot be fully verified, we may require a </w:t>
      </w:r>
      <w:r w:rsidR="00DD3E7A" w:rsidRPr="00D872F2">
        <w:rPr>
          <w:rFonts w:cstheme="minorHAnsi"/>
        </w:rPr>
        <w:t xml:space="preserve">homeowner </w:t>
      </w:r>
      <w:r w:rsidR="00A55318" w:rsidRPr="00D872F2">
        <w:rPr>
          <w:rFonts w:cstheme="minorHAnsi"/>
        </w:rPr>
        <w:t xml:space="preserve">or </w:t>
      </w:r>
      <w:proofErr w:type="gramStart"/>
      <w:r w:rsidR="00A55318" w:rsidRPr="00D872F2">
        <w:rPr>
          <w:rFonts w:cstheme="minorHAnsi"/>
        </w:rPr>
        <w:t>high income</w:t>
      </w:r>
      <w:proofErr w:type="gramEnd"/>
      <w:r w:rsidR="00A55318" w:rsidRPr="00D872F2">
        <w:rPr>
          <w:rFonts w:cstheme="minorHAnsi"/>
        </w:rPr>
        <w:t xml:space="preserve"> person </w:t>
      </w:r>
      <w:r w:rsidR="00DD3E7A" w:rsidRPr="00D872F2">
        <w:rPr>
          <w:rFonts w:cstheme="minorHAnsi"/>
        </w:rPr>
        <w:t xml:space="preserve">as </w:t>
      </w:r>
      <w:r w:rsidRPr="00D872F2">
        <w:rPr>
          <w:rFonts w:cstheme="minorHAnsi"/>
        </w:rPr>
        <w:t>guarantor</w:t>
      </w:r>
      <w:r w:rsidR="00A55318" w:rsidRPr="00D872F2">
        <w:rPr>
          <w:rFonts w:cstheme="minorHAnsi"/>
        </w:rPr>
        <w:t>.</w:t>
      </w:r>
    </w:p>
    <w:p w14:paraId="46014786" w14:textId="77777777" w:rsidR="00353F16" w:rsidRPr="00D872F2" w:rsidRDefault="00353F16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LANDLORD REFERENCES</w:t>
      </w:r>
    </w:p>
    <w:p w14:paraId="3C668303" w14:textId="21E72C34" w:rsidR="00353F16" w:rsidRPr="00D872F2" w:rsidRDefault="00353F16" w:rsidP="00A55318">
      <w:pPr>
        <w:pStyle w:val="ListParagraph"/>
        <w:numPr>
          <w:ilvl w:val="0"/>
          <w:numId w:val="15"/>
        </w:numPr>
        <w:rPr>
          <w:rFonts w:cstheme="minorHAnsi"/>
        </w:rPr>
      </w:pPr>
      <w:r w:rsidRPr="00D872F2">
        <w:rPr>
          <w:rFonts w:cstheme="minorHAnsi"/>
        </w:rPr>
        <w:t>Where applicable, we will normally request a reference from your current or most recent landlord.</w:t>
      </w:r>
    </w:p>
    <w:p w14:paraId="1FBEB522" w14:textId="30D0AF51" w:rsidR="00353F16" w:rsidRPr="00D872F2" w:rsidRDefault="00353F16" w:rsidP="00A55318">
      <w:pPr>
        <w:pStyle w:val="ListParagraph"/>
        <w:numPr>
          <w:ilvl w:val="0"/>
          <w:numId w:val="15"/>
        </w:numPr>
        <w:rPr>
          <w:rFonts w:cstheme="minorHAnsi"/>
        </w:rPr>
      </w:pPr>
      <w:r w:rsidRPr="00D872F2">
        <w:rPr>
          <w:rFonts w:cstheme="minorHAnsi"/>
        </w:rPr>
        <w:t>Alternative evidence may include proof of homeownership, evidence of previous rental payments, a guarantor or other relevant information.</w:t>
      </w:r>
    </w:p>
    <w:p w14:paraId="72378BB3" w14:textId="5B5F32E8" w:rsidR="00353F16" w:rsidRPr="00D872F2" w:rsidRDefault="00DD3E7A" w:rsidP="00A55318">
      <w:pPr>
        <w:pStyle w:val="ListParagraph"/>
        <w:numPr>
          <w:ilvl w:val="0"/>
          <w:numId w:val="15"/>
        </w:numPr>
        <w:rPr>
          <w:rFonts w:cstheme="minorHAnsi"/>
        </w:rPr>
      </w:pPr>
      <w:r w:rsidRPr="00D872F2">
        <w:rPr>
          <w:rFonts w:cstheme="minorHAnsi"/>
        </w:rPr>
        <w:t xml:space="preserve">If you do not have a </w:t>
      </w:r>
      <w:proofErr w:type="gramStart"/>
      <w:r w:rsidRPr="00D872F2">
        <w:rPr>
          <w:rFonts w:cstheme="minorHAnsi"/>
        </w:rPr>
        <w:t>landlord</w:t>
      </w:r>
      <w:proofErr w:type="gramEnd"/>
      <w:r w:rsidRPr="00D872F2">
        <w:rPr>
          <w:rFonts w:cstheme="minorHAnsi"/>
        </w:rPr>
        <w:t xml:space="preserve"> it is likely we may ask for a </w:t>
      </w:r>
      <w:proofErr w:type="spellStart"/>
      <w:r w:rsidRPr="00D872F2">
        <w:rPr>
          <w:rFonts w:cstheme="minorHAnsi"/>
        </w:rPr>
        <w:t>gurantor</w:t>
      </w:r>
      <w:proofErr w:type="spellEnd"/>
      <w:r w:rsidR="00A55318" w:rsidRPr="00D872F2">
        <w:rPr>
          <w:rFonts w:cstheme="minorHAnsi"/>
        </w:rPr>
        <w:t xml:space="preserve">, the criteria for a lack of landlord reference </w:t>
      </w:r>
      <w:proofErr w:type="spellStart"/>
      <w:r w:rsidR="00A55318" w:rsidRPr="00D872F2">
        <w:rPr>
          <w:rFonts w:cstheme="minorHAnsi"/>
        </w:rPr>
        <w:t>gurantors</w:t>
      </w:r>
      <w:proofErr w:type="spellEnd"/>
      <w:r w:rsidR="00A55318" w:rsidRPr="00D872F2">
        <w:rPr>
          <w:rFonts w:cstheme="minorHAnsi"/>
        </w:rPr>
        <w:t xml:space="preserve"> is substantially lower provide income criteria are met.</w:t>
      </w:r>
    </w:p>
    <w:p w14:paraId="46766F0B" w14:textId="1D3C63E3" w:rsidR="00353F16" w:rsidRPr="00D872F2" w:rsidRDefault="00353F16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GUARANTORS</w:t>
      </w:r>
      <w:r w:rsidR="006D2FFB" w:rsidRPr="00D872F2">
        <w:rPr>
          <w:rFonts w:cstheme="minorHAnsi"/>
          <w:b/>
          <w:bCs/>
        </w:rPr>
        <w:t xml:space="preserve"> - CRITERIA</w:t>
      </w:r>
    </w:p>
    <w:p w14:paraId="1D6F47DC" w14:textId="573C0DDF" w:rsidR="00353F16" w:rsidRPr="00D872F2" w:rsidRDefault="00353F16" w:rsidP="006D2FFB">
      <w:pPr>
        <w:pStyle w:val="ListParagraph"/>
        <w:numPr>
          <w:ilvl w:val="0"/>
          <w:numId w:val="16"/>
        </w:numPr>
        <w:rPr>
          <w:rFonts w:cstheme="minorHAnsi"/>
        </w:rPr>
      </w:pPr>
      <w:r w:rsidRPr="00D872F2">
        <w:rPr>
          <w:rFonts w:cstheme="minorHAnsi"/>
        </w:rPr>
        <w:t>Guarantors will normally be required to provide proof of identity</w:t>
      </w:r>
      <w:r w:rsidR="006D2FFB" w:rsidRPr="00D872F2">
        <w:rPr>
          <w:rFonts w:cstheme="minorHAnsi"/>
        </w:rPr>
        <w:t xml:space="preserve"> and </w:t>
      </w:r>
      <w:r w:rsidRPr="00D872F2">
        <w:rPr>
          <w:rFonts w:cstheme="minorHAnsi"/>
        </w:rPr>
        <w:t>provide proof of address.</w:t>
      </w:r>
    </w:p>
    <w:p w14:paraId="6653F87E" w14:textId="42B343D6" w:rsidR="00353F16" w:rsidRPr="00D872F2" w:rsidRDefault="00353F16" w:rsidP="006D2FFB">
      <w:pPr>
        <w:pStyle w:val="ListParagraph"/>
        <w:numPr>
          <w:ilvl w:val="0"/>
          <w:numId w:val="16"/>
        </w:numPr>
        <w:rPr>
          <w:rFonts w:cstheme="minorHAnsi"/>
        </w:rPr>
      </w:pPr>
      <w:r w:rsidRPr="00D872F2">
        <w:rPr>
          <w:rFonts w:cstheme="minorHAnsi"/>
        </w:rPr>
        <w:t xml:space="preserve">Guarantors will normally be required to </w:t>
      </w:r>
      <w:r w:rsidR="00A55318" w:rsidRPr="00D872F2">
        <w:rPr>
          <w:rFonts w:cstheme="minorHAnsi"/>
        </w:rPr>
        <w:t xml:space="preserve">be homeowners but if it </w:t>
      </w:r>
      <w:r w:rsidR="006D2FFB" w:rsidRPr="00D872F2">
        <w:rPr>
          <w:rFonts w:cstheme="minorHAnsi"/>
        </w:rPr>
        <w:t>being used</w:t>
      </w:r>
      <w:r w:rsidR="00A55318" w:rsidRPr="00D872F2">
        <w:rPr>
          <w:rFonts w:cstheme="minorHAnsi"/>
        </w:rPr>
        <w:t xml:space="preserve"> place of a </w:t>
      </w:r>
      <w:r w:rsidR="006D2FFB" w:rsidRPr="00D872F2">
        <w:rPr>
          <w:rFonts w:cstheme="minorHAnsi"/>
        </w:rPr>
        <w:t xml:space="preserve">missing </w:t>
      </w:r>
      <w:r w:rsidR="00A55318" w:rsidRPr="00D872F2">
        <w:rPr>
          <w:rFonts w:cstheme="minorHAnsi"/>
        </w:rPr>
        <w:t>landlord reference the criteria is less.</w:t>
      </w:r>
      <w:r w:rsidR="00DD3E7A" w:rsidRPr="00D872F2">
        <w:rPr>
          <w:rFonts w:cstheme="minorHAnsi"/>
        </w:rPr>
        <w:t xml:space="preserve"> </w:t>
      </w:r>
    </w:p>
    <w:p w14:paraId="3EF6E817" w14:textId="7BD2FAEF" w:rsidR="006D2FFB" w:rsidRPr="00D872F2" w:rsidRDefault="00353F16" w:rsidP="00A55318">
      <w:pPr>
        <w:pStyle w:val="ListParagraph"/>
        <w:numPr>
          <w:ilvl w:val="0"/>
          <w:numId w:val="16"/>
        </w:numPr>
        <w:rPr>
          <w:rFonts w:cstheme="minorHAnsi"/>
        </w:rPr>
      </w:pPr>
      <w:r w:rsidRPr="00D872F2">
        <w:rPr>
          <w:rFonts w:cstheme="minorHAnsi"/>
        </w:rPr>
        <w:t>All guarantors are subject to referencing and approval at our discretion</w:t>
      </w:r>
      <w:r w:rsidR="006D2FFB" w:rsidRPr="00D872F2">
        <w:rPr>
          <w:rFonts w:cstheme="minorHAnsi"/>
        </w:rPr>
        <w:t xml:space="preserve"> to demonstrate suitability of the </w:t>
      </w:r>
      <w:proofErr w:type="spellStart"/>
      <w:r w:rsidR="006D2FFB" w:rsidRPr="00D872F2">
        <w:rPr>
          <w:rFonts w:cstheme="minorHAnsi"/>
        </w:rPr>
        <w:t>gurantee</w:t>
      </w:r>
      <w:proofErr w:type="spellEnd"/>
      <w:r w:rsidR="006D2FFB" w:rsidRPr="00D872F2">
        <w:rPr>
          <w:rFonts w:cstheme="minorHAnsi"/>
        </w:rPr>
        <w:t xml:space="preserve"> which must be reasonably commercially enforceable. </w:t>
      </w:r>
    </w:p>
    <w:p w14:paraId="68529C87" w14:textId="58F2D0CA" w:rsidR="00DD3E7A" w:rsidRPr="00D872F2" w:rsidRDefault="00DD3E7A" w:rsidP="00A55318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ELECTRONIC INFORMATION</w:t>
      </w:r>
      <w:r w:rsidR="006D2FFB" w:rsidRPr="00D872F2">
        <w:rPr>
          <w:rFonts w:cstheme="minorHAnsi"/>
          <w:b/>
          <w:bCs/>
        </w:rPr>
        <w:t xml:space="preserve"> – FRAUD CHECKS</w:t>
      </w:r>
    </w:p>
    <w:p w14:paraId="2D56E20F" w14:textId="77777777" w:rsidR="00A55318" w:rsidRPr="00D872F2" w:rsidRDefault="00353F16" w:rsidP="006D2FFB">
      <w:pPr>
        <w:pStyle w:val="ListParagraph"/>
        <w:numPr>
          <w:ilvl w:val="0"/>
          <w:numId w:val="17"/>
        </w:numPr>
        <w:rPr>
          <w:rFonts w:cstheme="minorHAnsi"/>
        </w:rPr>
      </w:pPr>
      <w:r w:rsidRPr="00D872F2">
        <w:rPr>
          <w:rFonts w:cstheme="minorHAnsi"/>
        </w:rPr>
        <w:t xml:space="preserve">All electronic information </w:t>
      </w:r>
      <w:proofErr w:type="spellStart"/>
      <w:r w:rsidRPr="00D872F2">
        <w:rPr>
          <w:rFonts w:cstheme="minorHAnsi"/>
        </w:rPr>
        <w:t>maybe</w:t>
      </w:r>
      <w:proofErr w:type="spellEnd"/>
      <w:r w:rsidRPr="00D872F2">
        <w:rPr>
          <w:rFonts w:cstheme="minorHAnsi"/>
        </w:rPr>
        <w:t xml:space="preserve"> subject to additional AI checks to validate it.</w:t>
      </w:r>
      <w:r w:rsidR="00DD3E7A" w:rsidRPr="00D872F2">
        <w:rPr>
          <w:rFonts w:cstheme="minorHAnsi"/>
        </w:rPr>
        <w:t xml:space="preserve"> The system will be asked the same objective questions and we may require additional information to verify electronic documents. </w:t>
      </w:r>
    </w:p>
    <w:p w14:paraId="02F08453" w14:textId="001532C4" w:rsidR="009D7BA2" w:rsidRPr="009D7BA2" w:rsidRDefault="00DD3E7A" w:rsidP="009D7BA2">
      <w:pPr>
        <w:pStyle w:val="ListParagraph"/>
        <w:numPr>
          <w:ilvl w:val="0"/>
          <w:numId w:val="17"/>
        </w:numPr>
        <w:rPr>
          <w:rFonts w:cstheme="minorHAnsi"/>
        </w:rPr>
      </w:pPr>
      <w:r w:rsidRPr="00D872F2">
        <w:rPr>
          <w:rFonts w:cstheme="minorHAnsi"/>
        </w:rPr>
        <w:lastRenderedPageBreak/>
        <w:t xml:space="preserve">Note we operate a </w:t>
      </w:r>
      <w:r w:rsidR="009451D9" w:rsidRPr="00D872F2">
        <w:rPr>
          <w:rFonts w:cstheme="minorHAnsi"/>
        </w:rPr>
        <w:t>rigorous</w:t>
      </w:r>
      <w:r w:rsidRPr="00D872F2">
        <w:rPr>
          <w:rFonts w:cstheme="minorHAnsi"/>
        </w:rPr>
        <w:t xml:space="preserve"> fraud detection system on all application documents for all applicants</w:t>
      </w:r>
      <w:r w:rsidR="006D2FFB" w:rsidRPr="00D872F2">
        <w:rPr>
          <w:rFonts w:cstheme="minorHAnsi"/>
        </w:rPr>
        <w:t>.</w:t>
      </w:r>
      <w:r w:rsidR="006D2FFB" w:rsidRPr="00D872F2">
        <w:t xml:space="preserve"> </w:t>
      </w:r>
    </w:p>
    <w:p w14:paraId="289A91A6" w14:textId="7ED90FEA" w:rsidR="00D872F2" w:rsidRPr="00D872F2" w:rsidRDefault="00D872F2" w:rsidP="00D872F2">
      <w:pPr>
        <w:rPr>
          <w:rFonts w:cstheme="minorHAnsi"/>
          <w:b/>
          <w:bCs/>
        </w:rPr>
      </w:pPr>
      <w:r w:rsidRPr="00D872F2">
        <w:rPr>
          <w:rFonts w:cstheme="minorHAnsi"/>
          <w:b/>
          <w:bCs/>
        </w:rPr>
        <w:t>NOTES</w:t>
      </w:r>
      <w:r>
        <w:rPr>
          <w:rFonts w:cstheme="minorHAnsi"/>
          <w:b/>
          <w:bCs/>
        </w:rPr>
        <w:t xml:space="preserve"> ABOUT THIS CRITERIA </w:t>
      </w:r>
    </w:p>
    <w:p w14:paraId="5B58757F" w14:textId="4FFB18D4" w:rsidR="00D872F2" w:rsidRPr="00D872F2" w:rsidRDefault="00D872F2" w:rsidP="00D872F2">
      <w:pPr>
        <w:pStyle w:val="ListParagraph"/>
        <w:numPr>
          <w:ilvl w:val="0"/>
          <w:numId w:val="20"/>
        </w:numPr>
      </w:pPr>
      <w:r w:rsidRPr="00D872F2">
        <w:t>These criteria are intended as general guidance only and every application will be assessed on its own individual merits.</w:t>
      </w:r>
    </w:p>
    <w:p w14:paraId="06CD76C9" w14:textId="6EF458CD" w:rsidR="00D872F2" w:rsidRPr="00D872F2" w:rsidRDefault="00D872F2" w:rsidP="00D872F2">
      <w:pPr>
        <w:pStyle w:val="ListParagraph"/>
        <w:numPr>
          <w:ilvl w:val="0"/>
          <w:numId w:val="20"/>
        </w:numPr>
      </w:pPr>
      <w:r w:rsidRPr="00D872F2">
        <w:t>Meeting the minimum criteria does not guarantee acceptance of an application.</w:t>
      </w:r>
    </w:p>
    <w:p w14:paraId="64725F04" w14:textId="01F73417" w:rsidR="00D872F2" w:rsidRPr="00D872F2" w:rsidRDefault="00D872F2" w:rsidP="00D872F2">
      <w:pPr>
        <w:pStyle w:val="ListParagraph"/>
        <w:numPr>
          <w:ilvl w:val="0"/>
          <w:numId w:val="20"/>
        </w:numPr>
      </w:pPr>
      <w:r w:rsidRPr="00D872F2">
        <w:t>We may take into account the overall affordability, suitability, credit profile, referencing results, rental history, fraud prevention checks, property type, occupancy levels, management considerations and any other information reasonably relevant.</w:t>
      </w:r>
    </w:p>
    <w:p w14:paraId="207784D4" w14:textId="6D8695CF" w:rsidR="00D872F2" w:rsidRPr="00D872F2" w:rsidRDefault="00D872F2" w:rsidP="00D872F2">
      <w:pPr>
        <w:pStyle w:val="ListParagraph"/>
        <w:numPr>
          <w:ilvl w:val="0"/>
          <w:numId w:val="20"/>
        </w:numPr>
      </w:pPr>
      <w:r w:rsidRPr="00D872F2">
        <w:t>We reserve the right to accept, decline or place conditions on any application where we reasonably consider it necessary to protect the interests of the landlord.</w:t>
      </w:r>
    </w:p>
    <w:p w14:paraId="242F86DE" w14:textId="1302CD31" w:rsidR="00D872F2" w:rsidRPr="00D872F2" w:rsidRDefault="00D872F2" w:rsidP="00D872F2">
      <w:pPr>
        <w:pStyle w:val="ListParagraph"/>
        <w:numPr>
          <w:ilvl w:val="0"/>
          <w:numId w:val="20"/>
        </w:numPr>
      </w:pPr>
      <w:r w:rsidRPr="00D872F2">
        <w:t>All decisions will be made in accordance with applicable housing, consumer protection, equality and discrimination legislation.</w:t>
      </w:r>
    </w:p>
    <w:p w14:paraId="24D0D046" w14:textId="77777777" w:rsidR="00D872F2" w:rsidRPr="00D872F2" w:rsidRDefault="00D872F2" w:rsidP="00D872F2">
      <w:pPr>
        <w:rPr>
          <w:rFonts w:cstheme="minorHAnsi"/>
        </w:rPr>
      </w:pPr>
    </w:p>
    <w:p w14:paraId="04836587" w14:textId="77777777" w:rsidR="00384B00" w:rsidRPr="00D872F2" w:rsidRDefault="00384B00">
      <w:pPr>
        <w:rPr>
          <w:rFonts w:cstheme="minorHAnsi"/>
        </w:rPr>
      </w:pPr>
    </w:p>
    <w:sectPr w:rsidR="00384B00" w:rsidRPr="00D87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5704B7"/>
    <w:multiLevelType w:val="hybridMultilevel"/>
    <w:tmpl w:val="372E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5B6"/>
    <w:multiLevelType w:val="hybridMultilevel"/>
    <w:tmpl w:val="41664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F1C"/>
    <w:multiLevelType w:val="hybridMultilevel"/>
    <w:tmpl w:val="1FB47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B51CA"/>
    <w:multiLevelType w:val="hybridMultilevel"/>
    <w:tmpl w:val="E36A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28B9"/>
    <w:multiLevelType w:val="hybridMultilevel"/>
    <w:tmpl w:val="157C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0CFC"/>
    <w:multiLevelType w:val="hybridMultilevel"/>
    <w:tmpl w:val="9E06C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3A7E"/>
    <w:multiLevelType w:val="hybridMultilevel"/>
    <w:tmpl w:val="859AEA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10E38"/>
    <w:multiLevelType w:val="hybridMultilevel"/>
    <w:tmpl w:val="593A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2DE5"/>
    <w:multiLevelType w:val="hybridMultilevel"/>
    <w:tmpl w:val="ED88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7465C"/>
    <w:multiLevelType w:val="hybridMultilevel"/>
    <w:tmpl w:val="0A36F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5899"/>
    <w:multiLevelType w:val="hybridMultilevel"/>
    <w:tmpl w:val="420A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E5490"/>
    <w:multiLevelType w:val="hybridMultilevel"/>
    <w:tmpl w:val="CF46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74E2D"/>
    <w:multiLevelType w:val="hybridMultilevel"/>
    <w:tmpl w:val="9F62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04FE"/>
    <w:multiLevelType w:val="hybridMultilevel"/>
    <w:tmpl w:val="20804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A4244"/>
    <w:multiLevelType w:val="hybridMultilevel"/>
    <w:tmpl w:val="BD06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455B"/>
    <w:multiLevelType w:val="hybridMultilevel"/>
    <w:tmpl w:val="0386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3046C"/>
    <w:multiLevelType w:val="hybridMultilevel"/>
    <w:tmpl w:val="8914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7B84"/>
    <w:multiLevelType w:val="hybridMultilevel"/>
    <w:tmpl w:val="B68C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40672"/>
    <w:multiLevelType w:val="hybridMultilevel"/>
    <w:tmpl w:val="E21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74973"/>
    <w:multiLevelType w:val="hybridMultilevel"/>
    <w:tmpl w:val="8E56E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4066">
    <w:abstractNumId w:val="6"/>
  </w:num>
  <w:num w:numId="2" w16cid:durableId="1384720860">
    <w:abstractNumId w:val="2"/>
  </w:num>
  <w:num w:numId="3" w16cid:durableId="1019084840">
    <w:abstractNumId w:val="5"/>
  </w:num>
  <w:num w:numId="4" w16cid:durableId="871382942">
    <w:abstractNumId w:val="13"/>
  </w:num>
  <w:num w:numId="5" w16cid:durableId="1753240954">
    <w:abstractNumId w:val="0"/>
  </w:num>
  <w:num w:numId="6" w16cid:durableId="61145568">
    <w:abstractNumId w:val="7"/>
  </w:num>
  <w:num w:numId="7" w16cid:durableId="1520390946">
    <w:abstractNumId w:val="19"/>
  </w:num>
  <w:num w:numId="8" w16cid:durableId="1716809288">
    <w:abstractNumId w:val="3"/>
  </w:num>
  <w:num w:numId="9" w16cid:durableId="1782216423">
    <w:abstractNumId w:val="9"/>
  </w:num>
  <w:num w:numId="10" w16cid:durableId="1440875269">
    <w:abstractNumId w:val="1"/>
  </w:num>
  <w:num w:numId="11" w16cid:durableId="54858203">
    <w:abstractNumId w:val="10"/>
  </w:num>
  <w:num w:numId="12" w16cid:durableId="1998261532">
    <w:abstractNumId w:val="4"/>
  </w:num>
  <w:num w:numId="13" w16cid:durableId="915360465">
    <w:abstractNumId w:val="17"/>
  </w:num>
  <w:num w:numId="14" w16cid:durableId="1445686434">
    <w:abstractNumId w:val="12"/>
  </w:num>
  <w:num w:numId="15" w16cid:durableId="1832062308">
    <w:abstractNumId w:val="18"/>
  </w:num>
  <w:num w:numId="16" w16cid:durableId="638071927">
    <w:abstractNumId w:val="14"/>
  </w:num>
  <w:num w:numId="17" w16cid:durableId="645862775">
    <w:abstractNumId w:val="8"/>
  </w:num>
  <w:num w:numId="18" w16cid:durableId="417870930">
    <w:abstractNumId w:val="15"/>
  </w:num>
  <w:num w:numId="19" w16cid:durableId="573249199">
    <w:abstractNumId w:val="16"/>
  </w:num>
  <w:num w:numId="20" w16cid:durableId="2064020238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16"/>
    <w:rsid w:val="00353F16"/>
    <w:rsid w:val="00384B00"/>
    <w:rsid w:val="00495F42"/>
    <w:rsid w:val="006403A6"/>
    <w:rsid w:val="006D2FFB"/>
    <w:rsid w:val="006F2E79"/>
    <w:rsid w:val="0086300E"/>
    <w:rsid w:val="009451D9"/>
    <w:rsid w:val="009D7BA2"/>
    <w:rsid w:val="00A55318"/>
    <w:rsid w:val="00A960CE"/>
    <w:rsid w:val="00BC2EB6"/>
    <w:rsid w:val="00CC3466"/>
    <w:rsid w:val="00D872F2"/>
    <w:rsid w:val="00DD3E7A"/>
    <w:rsid w:val="00E41CA3"/>
    <w:rsid w:val="00E47BC4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DD301"/>
  <w15:chartTrackingRefBased/>
  <w15:docId w15:val="{61D8D859-C629-8D41-AF23-704BF2F4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F1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35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35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353F1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872F2"/>
  </w:style>
  <w:style w:type="character" w:styleId="Hyperlink">
    <w:name w:val="Hyperlink"/>
    <w:basedOn w:val="DefaultParagraphFont"/>
    <w:uiPriority w:val="99"/>
    <w:unhideWhenUsed/>
    <w:rsid w:val="00BC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dhu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4366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Smith</dc:creator>
  <cp:keywords/>
  <dc:description/>
  <cp:lastModifiedBy>Mike Smith</cp:lastModifiedBy>
  <cp:revision>3</cp:revision>
  <dcterms:created xsi:type="dcterms:W3CDTF">2026-06-04T10:43:00Z</dcterms:created>
  <dcterms:modified xsi:type="dcterms:W3CDTF">2026-06-30T13:03:00Z</dcterms:modified>
</cp:coreProperties>
</file>